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652697A8" wp14:editId="1494FA26">
            <wp:simplePos x="0" y="0"/>
            <wp:positionH relativeFrom="column">
              <wp:posOffset>41910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sidRPr="00D53080">
        <w:rPr>
          <w:rFonts w:asciiTheme="minorHAnsi" w:hAnsiTheme="minorHAnsi" w:cstheme="minorHAnsi"/>
          <w:b/>
          <w:sz w:val="20"/>
          <w:szCs w:val="20"/>
        </w:rPr>
        <w:tab/>
        <w:t xml:space="preserve"> INSTITUTO PARA LA PROTECCION DE PERSONAS DEFENSORAS DE DERECHOS HUMANOS Y PERIODISTAS</w:t>
      </w:r>
    </w:p>
    <w:p w:rsidR="00D53080" w:rsidRPr="00D53080" w:rsidRDefault="00D53080" w:rsidP="00D53080">
      <w:pPr>
        <w:pStyle w:val="Default"/>
        <w:rPr>
          <w:rFonts w:asciiTheme="minorHAnsi" w:hAnsiTheme="minorHAnsi" w:cstheme="minorHAnsi"/>
          <w:b/>
          <w:sz w:val="20"/>
          <w:szCs w:val="20"/>
        </w:rPr>
      </w:pP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I) NOTAS A LOS ESTADOS FINANCIEROS</w:t>
      </w: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 xml:space="preserve">AL 31 DE </w:t>
      </w:r>
      <w:r w:rsidR="00C306EF">
        <w:rPr>
          <w:rFonts w:asciiTheme="minorHAnsi" w:hAnsiTheme="minorHAnsi" w:cstheme="minorHAnsi"/>
          <w:b/>
          <w:sz w:val="20"/>
          <w:szCs w:val="20"/>
        </w:rPr>
        <w:t>MARZO DE 2025</w:t>
      </w:r>
    </w:p>
    <w:p w:rsidR="00D53080" w:rsidRPr="00D53080" w:rsidRDefault="00D53080" w:rsidP="00D53080">
      <w:pPr>
        <w:pStyle w:val="Default"/>
        <w:jc w:val="center"/>
        <w:rPr>
          <w:rFonts w:asciiTheme="minorHAnsi" w:hAnsiTheme="minorHAnsi" w:cstheme="minorHAnsi"/>
          <w:b/>
          <w:sz w:val="20"/>
          <w:szCs w:val="20"/>
        </w:rPr>
      </w:pPr>
      <w:r w:rsidRPr="00D53080">
        <w:rPr>
          <w:rFonts w:asciiTheme="minorHAnsi" w:hAnsiTheme="minorHAnsi" w:cstheme="minorHAnsi"/>
          <w:b/>
          <w:sz w:val="20"/>
          <w:szCs w:val="20"/>
        </w:rPr>
        <w:t>a) Notas de Gestión Administrativa</w:t>
      </w:r>
      <w:r w:rsidRPr="00D53080">
        <w:rPr>
          <w:rFonts w:asciiTheme="minorHAnsi" w:hAnsiTheme="minorHAnsi" w:cstheme="minorHAnsi"/>
          <w:b/>
          <w:sz w:val="20"/>
          <w:szCs w:val="20"/>
        </w:rPr>
        <w:tab/>
      </w:r>
    </w:p>
    <w:p w:rsidR="00D53080" w:rsidRPr="00D53080" w:rsidRDefault="00D53080" w:rsidP="00D53080">
      <w:pPr>
        <w:pStyle w:val="Default"/>
        <w:jc w:val="right"/>
        <w:rPr>
          <w:rFonts w:asciiTheme="minorHAnsi" w:hAnsiTheme="minorHAnsi" w:cstheme="minorHAnsi"/>
          <w:sz w:val="20"/>
          <w:szCs w:val="20"/>
        </w:rPr>
      </w:pPr>
      <w:r w:rsidRPr="00D53080">
        <w:rPr>
          <w:rFonts w:asciiTheme="minorHAnsi" w:hAnsiTheme="minorHAnsi" w:cstheme="minorHAnsi"/>
          <w:b/>
          <w:sz w:val="20"/>
          <w:szCs w:val="20"/>
        </w:rPr>
        <w:tab/>
      </w:r>
      <w:r w:rsidR="007A75B9">
        <w:rPr>
          <w:rFonts w:asciiTheme="minorHAnsi" w:hAnsiTheme="minorHAnsi" w:cstheme="minorHAnsi"/>
          <w:sz w:val="20"/>
          <w:szCs w:val="20"/>
        </w:rPr>
        <w:t>IC-NEF-06-2503</w:t>
      </w: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 Autorización e Historia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Fecha de creación del ente público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Principales cambios en su estructura.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bCs/>
          <w:sz w:val="20"/>
          <w:szCs w:val="20"/>
        </w:rPr>
        <w:t>En la misma publicación el H. Congreso del Estado de Sinaloa presentó los acuerdos número 83, 84, 85, 86, 87 y 88 donde se elige a los seis ciudadanos miembros del Consejo Consultivo del Instituto para la Protección de Personas Defensoras de Derechos Humanos y Periodistas del Estado de Sinaloa.</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2. Panorama Económico y Financiero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sz w:val="20"/>
          <w:szCs w:val="20"/>
        </w:rPr>
        <w:t xml:space="preserve">Para el ejercicio </w:t>
      </w:r>
      <w:r w:rsidR="007A75B9">
        <w:rPr>
          <w:rFonts w:asciiTheme="minorHAnsi" w:hAnsiTheme="minorHAnsi" w:cstheme="minorHAnsi"/>
          <w:sz w:val="20"/>
          <w:szCs w:val="20"/>
        </w:rPr>
        <w:t>2025</w:t>
      </w:r>
      <w:r w:rsidRPr="00D53080">
        <w:rPr>
          <w:rFonts w:asciiTheme="minorHAnsi" w:hAnsiTheme="minorHAnsi" w:cstheme="minorHAnsi"/>
          <w:sz w:val="20"/>
          <w:szCs w:val="20"/>
        </w:rPr>
        <w:t xml:space="preserve"> el Congreso del Estado aprobó un importe de $1</w:t>
      </w:r>
      <w:r w:rsidR="007A75B9">
        <w:rPr>
          <w:rFonts w:asciiTheme="minorHAnsi" w:hAnsiTheme="minorHAnsi" w:cstheme="minorHAnsi"/>
          <w:sz w:val="20"/>
          <w:szCs w:val="20"/>
        </w:rPr>
        <w:t>3</w:t>
      </w:r>
      <w:r w:rsidRPr="00D53080">
        <w:rPr>
          <w:rFonts w:asciiTheme="minorHAnsi" w:hAnsiTheme="minorHAnsi" w:cstheme="minorHAnsi"/>
          <w:sz w:val="20"/>
          <w:szCs w:val="20"/>
        </w:rPr>
        <w:t>’</w:t>
      </w:r>
      <w:r w:rsidR="007A75B9">
        <w:rPr>
          <w:rFonts w:asciiTheme="minorHAnsi" w:hAnsiTheme="minorHAnsi" w:cstheme="minorHAnsi"/>
          <w:sz w:val="20"/>
          <w:szCs w:val="20"/>
        </w:rPr>
        <w:t>003</w:t>
      </w:r>
      <w:r w:rsidRPr="00D53080">
        <w:rPr>
          <w:rFonts w:asciiTheme="minorHAnsi" w:hAnsiTheme="minorHAnsi" w:cstheme="minorHAnsi"/>
          <w:sz w:val="20"/>
          <w:szCs w:val="20"/>
        </w:rPr>
        <w:t>,</w:t>
      </w:r>
      <w:r w:rsidR="007A75B9">
        <w:rPr>
          <w:rFonts w:asciiTheme="minorHAnsi" w:hAnsiTheme="minorHAnsi" w:cstheme="minorHAnsi"/>
          <w:sz w:val="20"/>
          <w:szCs w:val="20"/>
        </w:rPr>
        <w:t>184</w:t>
      </w:r>
      <w:r w:rsidRPr="00D53080">
        <w:rPr>
          <w:rFonts w:asciiTheme="minorHAnsi" w:hAnsiTheme="minorHAnsi" w:cstheme="minorHAnsi"/>
          <w:sz w:val="20"/>
          <w:szCs w:val="20"/>
        </w:rPr>
        <w:t>.00 para la operación y logística del Instituto.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Cs/>
          <w:sz w:val="20"/>
          <w:szCs w:val="20"/>
        </w:rPr>
        <w:t xml:space="preserve">El Instituto es responsable del correcto ejercicio de la totalidad de su gasto corriente. </w:t>
      </w:r>
      <w:r w:rsidRPr="00D53080">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3. Organización y Objeto Social</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Objeto social.</w:t>
      </w:r>
      <w:bookmarkStart w:id="0" w:name="_GoBack"/>
      <w:bookmarkEnd w:id="0"/>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La prevención, atención y protección a periodistas y personas defensoras de derechos humanos en los casos de agresiones y amenazas.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Principal actividad.</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Defensa de Derechos Humanos.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Ejercicio fiscal.</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00BC6DFB">
        <w:rPr>
          <w:rFonts w:asciiTheme="minorHAnsi" w:hAnsiTheme="minorHAnsi" w:cstheme="minorHAnsi"/>
          <w:i/>
          <w:sz w:val="20"/>
          <w:szCs w:val="20"/>
        </w:rPr>
        <w:t>Ejercicio 2025</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Régimen jurídico.</w:t>
      </w:r>
    </w:p>
    <w:p w:rsidR="00D53080" w:rsidRPr="00D53080" w:rsidRDefault="00D53080" w:rsidP="00D53080">
      <w:pPr>
        <w:pStyle w:val="Default"/>
        <w:ind w:firstLine="708"/>
        <w:jc w:val="both"/>
        <w:rPr>
          <w:rFonts w:asciiTheme="minorHAnsi" w:hAnsiTheme="minorHAnsi" w:cstheme="minorHAnsi"/>
          <w:i/>
          <w:sz w:val="20"/>
          <w:szCs w:val="20"/>
        </w:rPr>
      </w:pPr>
      <w:r w:rsidRPr="00D53080">
        <w:rPr>
          <w:rFonts w:asciiTheme="minorHAnsi" w:hAnsiTheme="minorHAnsi" w:cstheme="minorHAnsi"/>
          <w:i/>
          <w:sz w:val="20"/>
          <w:szCs w:val="20"/>
        </w:rPr>
        <w:t>Persona Moral con Fines no Lucrativos.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e) Consideraciones fiscales del ente: revelar el tipo de contribuciones que esté obligado a pagar o retener. </w:t>
      </w:r>
    </w:p>
    <w:p w:rsidR="00D53080" w:rsidRPr="00D53080" w:rsidRDefault="00D53080" w:rsidP="00D53080">
      <w:pPr>
        <w:pStyle w:val="Default"/>
        <w:jc w:val="both"/>
        <w:rPr>
          <w:rFonts w:asciiTheme="minorHAnsi" w:hAnsiTheme="minorHAnsi" w:cstheme="minorHAnsi"/>
          <w:i/>
          <w:sz w:val="20"/>
          <w:szCs w:val="20"/>
        </w:rPr>
      </w:pPr>
      <w:r w:rsidRPr="00D53080">
        <w:rPr>
          <w:rFonts w:asciiTheme="minorHAnsi" w:hAnsiTheme="minorHAnsi" w:cstheme="minorHAnsi"/>
          <w:sz w:val="20"/>
          <w:szCs w:val="20"/>
        </w:rPr>
        <w:tab/>
      </w:r>
      <w:r w:rsidRPr="00D53080">
        <w:rPr>
          <w:rFonts w:asciiTheme="minorHAnsi" w:hAnsiTheme="minorHAnsi" w:cstheme="minorHAnsi"/>
          <w:i/>
          <w:sz w:val="20"/>
          <w:szCs w:val="20"/>
        </w:rPr>
        <w:t>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Persona Moral no contribuyente por la percepción de sus ingresos, de conformidad con los artículos 93, 94 y 102 de la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subordinados, de conformidad con el artículo, 110 y 113 de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asimilados a salarios de conformidad con el artículo, 110 y 113 de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servicios personales independientes de conformidad con el artículo 102, 120 y 127 de la Ley del Impuesto Sobre la Renta.</w:t>
      </w:r>
    </w:p>
    <w:p w:rsidR="00D53080" w:rsidRPr="00D53080" w:rsidRDefault="00D53080" w:rsidP="00D53080">
      <w:pPr>
        <w:pStyle w:val="Default"/>
        <w:numPr>
          <w:ilvl w:val="0"/>
          <w:numId w:val="1"/>
        </w:numPr>
        <w:jc w:val="both"/>
        <w:rPr>
          <w:rFonts w:asciiTheme="minorHAnsi" w:hAnsiTheme="minorHAnsi" w:cstheme="minorHAnsi"/>
          <w:i/>
          <w:sz w:val="20"/>
          <w:szCs w:val="20"/>
        </w:rPr>
      </w:pPr>
      <w:r w:rsidRPr="00D53080">
        <w:rPr>
          <w:rFonts w:asciiTheme="minorHAnsi" w:hAnsiTheme="minorHAnsi" w:cstheme="minorHAnsi"/>
          <w:i/>
          <w:sz w:val="20"/>
          <w:szCs w:val="20"/>
        </w:rPr>
        <w:t>Retenedor por los pagos por Arrendamiento de Inmuebles de conformidad con el artículo 102, 141 y 143 de la Ley del Impuesto Sobre la Renta.</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AL VALOR AGREGADO</w:t>
      </w:r>
    </w:p>
    <w:p w:rsidR="00D53080" w:rsidRPr="00D53080" w:rsidRDefault="00D53080" w:rsidP="00D53080">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t>Contribuyente, únicamente por las operaciones relacionadas por el entero de retenciones derivadas de arrendamiento y servicios profesionales de conformidad con el artículo 1A de la Ley del Impuesto al Valor Agregado.</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EMPRESARIAL A TASA ÚNICA</w:t>
      </w:r>
    </w:p>
    <w:p w:rsidR="00D53080" w:rsidRPr="00D53080" w:rsidRDefault="00D53080" w:rsidP="00D53080">
      <w:pPr>
        <w:pStyle w:val="Default"/>
        <w:numPr>
          <w:ilvl w:val="0"/>
          <w:numId w:val="2"/>
        </w:numPr>
        <w:jc w:val="both"/>
        <w:rPr>
          <w:rFonts w:asciiTheme="minorHAnsi" w:hAnsiTheme="minorHAnsi" w:cstheme="minorHAnsi"/>
          <w:i/>
          <w:sz w:val="20"/>
          <w:szCs w:val="20"/>
        </w:rPr>
      </w:pPr>
      <w:r w:rsidRPr="00D53080">
        <w:rPr>
          <w:rFonts w:asciiTheme="minorHAnsi" w:hAnsiTheme="minorHAnsi" w:cstheme="minorHAnsi"/>
          <w:i/>
          <w:sz w:val="20"/>
          <w:szCs w:val="20"/>
        </w:rPr>
        <w:lastRenderedPageBreak/>
        <w:t>No contribuyente por la percepción de sus ingresos conforme al artículo 4 fracción I de la Ley del Impuesto Empresarial a Tasa Única.</w:t>
      </w:r>
    </w:p>
    <w:p w:rsidR="00D53080" w:rsidRPr="00D53080" w:rsidRDefault="00D53080" w:rsidP="00D53080">
      <w:pPr>
        <w:pStyle w:val="Default"/>
        <w:ind w:left="708"/>
        <w:jc w:val="both"/>
        <w:rPr>
          <w:rFonts w:asciiTheme="minorHAnsi" w:hAnsiTheme="minorHAnsi" w:cstheme="minorHAnsi"/>
          <w:i/>
          <w:sz w:val="20"/>
          <w:szCs w:val="20"/>
        </w:rPr>
      </w:pPr>
      <w:r w:rsidRPr="00D53080">
        <w:rPr>
          <w:rFonts w:asciiTheme="minorHAnsi" w:hAnsiTheme="minorHAnsi" w:cstheme="minorHAnsi"/>
          <w:i/>
          <w:sz w:val="20"/>
          <w:szCs w:val="20"/>
        </w:rPr>
        <w:t>IMPUESTO LOCAL SOBRE NOMINAS</w:t>
      </w:r>
    </w:p>
    <w:p w:rsidR="00D53080" w:rsidRPr="00D53080" w:rsidRDefault="00D53080" w:rsidP="00D53080">
      <w:pPr>
        <w:pStyle w:val="Default"/>
        <w:numPr>
          <w:ilvl w:val="0"/>
          <w:numId w:val="2"/>
        </w:numPr>
        <w:jc w:val="both"/>
        <w:rPr>
          <w:rFonts w:asciiTheme="minorHAnsi" w:hAnsiTheme="minorHAnsi" w:cstheme="minorHAnsi"/>
          <w:sz w:val="20"/>
          <w:szCs w:val="20"/>
        </w:rPr>
      </w:pPr>
      <w:r w:rsidRPr="00D53080">
        <w:rPr>
          <w:rFonts w:asciiTheme="minorHAnsi" w:hAnsiTheme="minorHAnsi" w:cstheme="minorHAnsi"/>
          <w:i/>
          <w:sz w:val="20"/>
          <w:szCs w:val="20"/>
        </w:rPr>
        <w:t>Contribuyente por los pagos efectuados por servicios personales subordinados conforme a los artículos 17 y 18 de la Ley de Hacienda del Estado de Sinaloa.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f) Estructura organizacional básica.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noProof/>
          <w:sz w:val="20"/>
          <w:szCs w:val="20"/>
          <w:lang w:eastAsia="es-MX"/>
        </w:rPr>
        <w:drawing>
          <wp:inline distT="0" distB="0" distL="0" distR="0" wp14:anchorId="324D4FC8" wp14:editId="5AFA8C8A">
            <wp:extent cx="6477233" cy="4679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92840" cy="4691226"/>
                    </a:xfrm>
                    <a:prstGeom prst="rect">
                      <a:avLst/>
                    </a:prstGeom>
                  </pic:spPr>
                </pic:pic>
              </a:graphicData>
            </a:graphic>
          </wp:inline>
        </w:drawing>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g) Fideicomisos, mandatos y análogos de los cuales es fideicomitente o fiduciario.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administra fideicomiso alguno.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4. Bases de Preparación de los Estados Financieros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Si se ha observado la normatividad emitida por el CONAC y las disposiciones legales aplicables.</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Se ha observado toda la normatividad emitida por el CONAC.</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de Ingresos y Presupuesto de Egresos del Estado de Sinaloa para el Ejercicio 202</w:t>
      </w:r>
      <w:r w:rsidR="007A75B9">
        <w:rPr>
          <w:rFonts w:asciiTheme="minorHAnsi" w:hAnsiTheme="minorHAnsi" w:cstheme="minorHAnsi"/>
          <w:bCs/>
          <w:sz w:val="20"/>
          <w:szCs w:val="20"/>
        </w:rPr>
        <w:t>5</w:t>
      </w:r>
      <w:r w:rsidRPr="00D53080">
        <w:rPr>
          <w:rFonts w:asciiTheme="minorHAnsi" w:hAnsiTheme="minorHAnsi" w:cstheme="minorHAnsi"/>
          <w:bCs/>
          <w:sz w:val="20"/>
          <w:szCs w:val="20"/>
        </w:rPr>
        <w:t>.</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La Ley para la Protección de Personas Defensoras de Derechos Humanos y Periodistas del Estado de Sinaloa.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53080" w:rsidRPr="00D53080" w:rsidRDefault="00D53080" w:rsidP="00D53080">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El total de las operaciones están reconocidas a su Costo Histórico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Postulados básicos de Contabilidad Gubernamental (PBCG).</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Los Emitidos por el CONAC:</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 Sustancia Económica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2. Entes Públicos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3. Existencia Permanente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4. Revelación Suficiente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5. Importancia Relativa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6. Registro e Integración Presupuestaria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7. Consolidación de la Información Financiera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8. Devengo Contable</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9. Valuación</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10. Dualidad Económica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11. Consistencia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Las permitidas por la Normatividad del CONAC:</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Cuarto Nivel de COG.</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del Tercer y Cuarto Nivel del CRI.</w:t>
      </w:r>
    </w:p>
    <w:p w:rsidR="00D53080" w:rsidRPr="00D53080" w:rsidRDefault="00D53080" w:rsidP="00D53080">
      <w:pPr>
        <w:pStyle w:val="Default"/>
        <w:numPr>
          <w:ilvl w:val="0"/>
          <w:numId w:val="2"/>
        </w:numPr>
        <w:jc w:val="both"/>
        <w:rPr>
          <w:rFonts w:asciiTheme="minorHAnsi" w:hAnsiTheme="minorHAnsi" w:cstheme="minorHAnsi"/>
          <w:bCs/>
          <w:sz w:val="20"/>
          <w:szCs w:val="20"/>
        </w:rPr>
      </w:pPr>
      <w:r w:rsidRPr="00D53080">
        <w:rPr>
          <w:rFonts w:asciiTheme="minorHAnsi" w:hAnsiTheme="minorHAnsi" w:cstheme="minorHAnsi"/>
          <w:bCs/>
          <w:sz w:val="20"/>
          <w:szCs w:val="20"/>
        </w:rPr>
        <w:t>Aplicación personalizada a partir del Quinto Nivel permitido del Plan de Cuentas.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Para las entidades que por primera vez estén implementando la “base devengado”, de acuerdo a la Ley de Contabilidad, deberán:</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-Revelar las nuevas políticas de reconocimiento.</w:t>
      </w:r>
    </w:p>
    <w:p w:rsidR="00D53080" w:rsidRPr="00D53080" w:rsidRDefault="00D53080" w:rsidP="00D53080">
      <w:pPr>
        <w:pStyle w:val="Default"/>
        <w:ind w:left="1416"/>
        <w:jc w:val="both"/>
        <w:rPr>
          <w:rFonts w:asciiTheme="minorHAnsi" w:hAnsiTheme="minorHAnsi" w:cstheme="minorHAnsi"/>
          <w:bCs/>
          <w:sz w:val="20"/>
          <w:szCs w:val="20"/>
        </w:rPr>
      </w:pPr>
    </w:p>
    <w:p w:rsidR="00D53080" w:rsidRPr="00D53080" w:rsidRDefault="00D53080" w:rsidP="00D53080">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De acuerdo a lo establecido por el CONAC.</w:t>
      </w:r>
    </w:p>
    <w:p w:rsidR="00D53080" w:rsidRPr="00D53080" w:rsidRDefault="00D53080" w:rsidP="00D53080">
      <w:pPr>
        <w:pStyle w:val="Default"/>
        <w:ind w:left="1416"/>
        <w:jc w:val="both"/>
        <w:rPr>
          <w:rFonts w:asciiTheme="minorHAnsi" w:hAnsiTheme="minorHAnsi" w:cstheme="minorHAnsi"/>
          <w:bCs/>
          <w:sz w:val="20"/>
          <w:szCs w:val="20"/>
        </w:rPr>
      </w:pP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INGRESOS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Devengado.-</w:t>
      </w:r>
      <w:proofErr w:type="gramEnd"/>
      <w:r w:rsidRPr="00D53080">
        <w:rPr>
          <w:rFonts w:asciiTheme="minorHAnsi" w:hAnsiTheme="minorHAnsi" w:cstheme="minorHAnsi"/>
          <w:bCs/>
          <w:sz w:val="20"/>
          <w:szCs w:val="20"/>
        </w:rPr>
        <w:t xml:space="preserve"> Cuando exista jurídicamente el derecho al cobro.</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Recaudado.-</w:t>
      </w:r>
      <w:proofErr w:type="gramEnd"/>
      <w:r w:rsidRPr="00D53080">
        <w:rPr>
          <w:rFonts w:asciiTheme="minorHAnsi" w:hAnsiTheme="minorHAnsi" w:cstheme="minorHAnsi"/>
          <w:bCs/>
          <w:sz w:val="20"/>
          <w:szCs w:val="20"/>
        </w:rPr>
        <w:t xml:space="preserve"> Cuando existe el cobro en efectivo o cualquier otro medio de pago </w:t>
      </w:r>
    </w:p>
    <w:p w:rsidR="00D53080" w:rsidRPr="00D53080" w:rsidRDefault="00D53080" w:rsidP="00D53080">
      <w:pPr>
        <w:pStyle w:val="Default"/>
        <w:ind w:left="2124"/>
        <w:jc w:val="both"/>
        <w:rPr>
          <w:rFonts w:asciiTheme="minorHAnsi" w:hAnsiTheme="minorHAnsi" w:cstheme="minorHAnsi"/>
          <w:bCs/>
          <w:sz w:val="20"/>
          <w:szCs w:val="20"/>
        </w:rPr>
      </w:pPr>
    </w:p>
    <w:p w:rsidR="00D53080" w:rsidRPr="00D53080" w:rsidRDefault="00D53080" w:rsidP="00D53080">
      <w:pPr>
        <w:pStyle w:val="Default"/>
        <w:ind w:left="2124"/>
        <w:jc w:val="both"/>
        <w:rPr>
          <w:rFonts w:asciiTheme="minorHAnsi" w:hAnsiTheme="minorHAnsi" w:cstheme="minorHAnsi"/>
          <w:bCs/>
          <w:sz w:val="20"/>
          <w:szCs w:val="20"/>
        </w:rPr>
      </w:pPr>
      <w:r w:rsidRPr="00D53080">
        <w:rPr>
          <w:rFonts w:asciiTheme="minorHAnsi" w:hAnsiTheme="minorHAnsi" w:cstheme="minorHAnsi"/>
          <w:bCs/>
          <w:sz w:val="20"/>
          <w:szCs w:val="20"/>
        </w:rPr>
        <w:t>EGRESOS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Comprometido.-</w:t>
      </w:r>
      <w:proofErr w:type="gramEnd"/>
      <w:r w:rsidRPr="00D53080">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Devengado.-</w:t>
      </w:r>
      <w:proofErr w:type="gramEnd"/>
      <w:r w:rsidRPr="00D53080">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Ejercido.-</w:t>
      </w:r>
      <w:proofErr w:type="gramEnd"/>
      <w:r w:rsidRPr="00D53080">
        <w:rPr>
          <w:rFonts w:asciiTheme="minorHAnsi" w:hAnsiTheme="minorHAnsi" w:cstheme="minorHAnsi"/>
          <w:bCs/>
          <w:sz w:val="20"/>
          <w:szCs w:val="20"/>
        </w:rPr>
        <w:t xml:space="preserve"> Cuando se emite una cuanta por liquidar aprobada por la autoridad competente</w:t>
      </w:r>
    </w:p>
    <w:p w:rsidR="00D53080" w:rsidRPr="00D53080" w:rsidRDefault="00D53080" w:rsidP="00D53080">
      <w:pPr>
        <w:pStyle w:val="Default"/>
        <w:ind w:left="2124"/>
        <w:jc w:val="both"/>
        <w:rPr>
          <w:rFonts w:asciiTheme="minorHAnsi" w:hAnsiTheme="minorHAnsi" w:cstheme="minorHAnsi"/>
          <w:bCs/>
          <w:sz w:val="20"/>
          <w:szCs w:val="20"/>
        </w:rPr>
      </w:pPr>
      <w:proofErr w:type="gramStart"/>
      <w:r w:rsidRPr="00D53080">
        <w:rPr>
          <w:rFonts w:asciiTheme="minorHAnsi" w:hAnsiTheme="minorHAnsi" w:cstheme="minorHAnsi"/>
          <w:bCs/>
          <w:sz w:val="20"/>
          <w:szCs w:val="20"/>
        </w:rPr>
        <w:t>Pagado.-</w:t>
      </w:r>
      <w:proofErr w:type="gramEnd"/>
      <w:r w:rsidRPr="00D53080">
        <w:rPr>
          <w:rFonts w:asciiTheme="minorHAnsi" w:hAnsiTheme="minorHAnsi" w:cstheme="minorHAnsi"/>
          <w:bCs/>
          <w:sz w:val="20"/>
          <w:szCs w:val="20"/>
        </w:rPr>
        <w:t xml:space="preserve"> Cuando se realiza la cancelación total o parcial de las obligaciones de pago.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‐Su Plan de implementación.</w:t>
      </w:r>
    </w:p>
    <w:p w:rsidR="00D53080" w:rsidRPr="00D53080" w:rsidRDefault="00D53080" w:rsidP="00D53080">
      <w:pPr>
        <w:pStyle w:val="Default"/>
        <w:ind w:left="1416"/>
        <w:jc w:val="both"/>
        <w:rPr>
          <w:rFonts w:asciiTheme="minorHAnsi" w:hAnsiTheme="minorHAnsi" w:cstheme="minorHAnsi"/>
          <w:bCs/>
          <w:sz w:val="20"/>
          <w:szCs w:val="20"/>
        </w:rPr>
      </w:pPr>
      <w:r w:rsidRPr="00D53080">
        <w:rPr>
          <w:rFonts w:asciiTheme="minorHAnsi" w:hAnsiTheme="minorHAnsi" w:cstheme="minorHAnsi"/>
          <w:bCs/>
          <w:sz w:val="20"/>
          <w:szCs w:val="20"/>
        </w:rPr>
        <w:t>Se inicia el registro de las operaciones en BASE DEVENGADO a partir del mes de octubre de 2022, con el apoyo de un sistema contable que integra el total de las operaciones del Ente: Ingresos, Sueldos, Pagos, Contabilidad, Presupuesto, Cuenta Pública, etc.</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Revelar los cambios en las políticas, la clasificación y medición de las mismas, así como su impacto en la información financiera.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ab/>
        <w:t>Sin cambios en las políticas, la clasificación y medición de las mismas.</w:t>
      </w:r>
    </w:p>
    <w:p w:rsidR="00D53080" w:rsidRPr="00D53080" w:rsidRDefault="00D53080" w:rsidP="00D53080">
      <w:pPr>
        <w:pStyle w:val="Default"/>
        <w:ind w:left="708"/>
        <w:jc w:val="both"/>
        <w:rPr>
          <w:rFonts w:asciiTheme="minorHAnsi" w:hAnsiTheme="minorHAnsi" w:cstheme="minorHAnsi"/>
          <w:bCs/>
          <w:sz w:val="20"/>
          <w:szCs w:val="20"/>
        </w:rPr>
      </w:pP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 Presentar los últimos estados financieros con la normatividad anteriormente utilizada con las nuevas políticas para fines de comparación en la transición a la base de devengado.</w:t>
      </w:r>
      <w:r w:rsidRPr="00D53080">
        <w:rPr>
          <w:rFonts w:asciiTheme="minorHAnsi" w:hAnsiTheme="minorHAnsi" w:cstheme="minorHAnsi"/>
          <w:bCs/>
          <w:sz w:val="20"/>
          <w:szCs w:val="20"/>
        </w:rPr>
        <w:cr/>
      </w:r>
      <w:r w:rsidRPr="00D53080">
        <w:rPr>
          <w:rFonts w:asciiTheme="minorHAnsi" w:hAnsiTheme="minorHAnsi" w:cstheme="minorHAnsi"/>
          <w:bCs/>
          <w:sz w:val="20"/>
          <w:szCs w:val="20"/>
        </w:rPr>
        <w:tab/>
        <w:t>El ente es de nueva creación en mayo de 2022 y desde sus inicios ha operado sus registros base devengado.</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5. Políticas de Contabilidad Significativas </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Actualización: se informará del método utilizado para la actualización del valor de los activos, pasivos y Hacienda Pública/Patrimonio y las razones de dicha elección. Así como informar de la desconexión o reconexión inflacionaria.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lastRenderedPageBreak/>
        <w:t>A lo largo de la Historia de este Ente, no se ha utilizado ningún Método para la Actualización del Valor de los Activos, Pasivos y Hacienda Pública y/o Patrimonio.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Informar sobre la realización de operaciones en el extranjero y de sus efectos en la información financiera gubernamental, considerando entre otros el importe de las variaciones cambiarias reconocidas en el resultado (ahorro o desahorro).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Durante 202</w:t>
      </w:r>
      <w:r w:rsidR="00C306EF">
        <w:rPr>
          <w:rFonts w:asciiTheme="minorHAnsi" w:hAnsiTheme="minorHAnsi" w:cstheme="minorHAnsi"/>
          <w:bCs/>
          <w:sz w:val="20"/>
          <w:szCs w:val="20"/>
        </w:rPr>
        <w:t>5</w:t>
      </w:r>
      <w:r w:rsidRPr="00D53080">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c) Método de valuación de la inversión en acciones de Compañías subsidiarias no consolidadas y asociadas.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acciones de algún otro Ente</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d) Sistema y método de valuación de inventarios y costo de lo vendido.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e) Beneficios a empleados: revelar el cálculo de la reserva actuarial, valor presente de los ingresos esperados comparado con el valor presente de la estimación de gastos tanto de los beneficiarios actuales como futuros.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tienen reservas para beneficios futuros de los empleados, más que las contempladas anualmente en el presupuesto de egresos del ejercicio presente.</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f) Provisiones: objetivo de su creación, monto y plazo.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Provisiones.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g) Reservas: objetivo de su creación, monto y plazo.</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Reservas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El ente es de nueva creación. Se creó por Ley en mayo del 2022 y desde que inició a ejercer su presupuesto ha utilizado un SCG armonizado.</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 Reclasificaciones: se deben revelar todos aquellos movimientos entre cuentas por efectos de cambios en los tipos de operaciones.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j) Depuración y cancelación de saldos:</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existe reclasificaciones importantes.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6. Posición en Moneda Extranjera y Protección por Riesgo Cambiario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Activos en moneda extranjera:</w:t>
      </w:r>
    </w:p>
    <w:p w:rsidR="00D53080" w:rsidRPr="00D53080" w:rsidRDefault="00D53080" w:rsidP="00D53080">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Activos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Pasivos en moneda extranjera:</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Pasivos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Posición en moneda extranjera:</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Tipo de cambio:</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extranjera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 Equivalente en moneda nacional:</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No se tienen operaciones en moneda extrajera</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lastRenderedPageBreak/>
        <w:t xml:space="preserve">7. Reporte Analítico del Activo </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Vida útil, porcentajes de depreciación y amortización utilizados en los diferentes tipos de activos, o el importe de las pérdidas por deterioro reconocidas.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 xml:space="preserve"> b) Cambios en el porcentaje de depreciación y amortización y en el valor de los activos ocasionado por deterioro.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porcentajes no han sido cambiados.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 Importe de los gastos capitalizados en el ejercicio, tanto financieros como de investigación y desarrollo.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este tipo de gastos.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d) Riesgos por tipo de cambio o tipo de interés de las inversiones financieras.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inversiones financieras en moneda extranjera.</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 Valor activado en el ejercicio de los bienes construidos por la entidad.</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b/>
        <w:t>El Instituto no cuenta con bienes construidos.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se tienen situaciones importantes que afecten los activos del Instituto.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g) Desmantelamiento de Activos, procedimientos, implicaciones, efectos contables.</w:t>
      </w:r>
    </w:p>
    <w:p w:rsidR="00D53080" w:rsidRPr="00D53080" w:rsidRDefault="00D53080" w:rsidP="00D53080">
      <w:pPr>
        <w:pStyle w:val="Default"/>
        <w:ind w:firstLine="708"/>
        <w:jc w:val="both"/>
        <w:rPr>
          <w:rFonts w:asciiTheme="minorHAnsi" w:hAnsiTheme="minorHAnsi" w:cstheme="minorHAnsi"/>
          <w:sz w:val="20"/>
          <w:szCs w:val="20"/>
        </w:rPr>
      </w:pPr>
      <w:r w:rsidRPr="00D53080">
        <w:rPr>
          <w:rFonts w:asciiTheme="minorHAnsi" w:hAnsiTheme="minorHAnsi" w:cstheme="minorHAnsi"/>
          <w:sz w:val="20"/>
          <w:szCs w:val="20"/>
        </w:rPr>
        <w:t>No se tienen desmantelamiento de Activos.</w:t>
      </w:r>
    </w:p>
    <w:p w:rsidR="00D53080" w:rsidRPr="00D53080" w:rsidRDefault="00D53080" w:rsidP="00D53080">
      <w:pPr>
        <w:pStyle w:val="Default"/>
        <w:ind w:firstLine="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h) Administración de activos; planeación con el objetivo de que el ente los utilice de manera más efectiva.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Se utilizan los activos con la operación y mantenimiento óptimo.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Adicionalmente, se deben incluir las explicaciones de las principales variaciones en el activo, en cuadros comparativos como sigue: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 Inversiones en valores.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tienen inversiones en valores.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b) Patrimonio de Organismos descentralizados de Control Presupuestario Indirecto.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Patrimonio en Organismos descentralizados de Control Presupuestario Indirecto.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c) Inversiones en empresas de participación mayoritaria.</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ab/>
        <w:t>No se tiene inversión en este tipo de empresas.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d) Inversiones en empresas de participación minoritaria.</w:t>
      </w:r>
    </w:p>
    <w:p w:rsidR="00D53080" w:rsidRPr="00D53080" w:rsidRDefault="00D53080" w:rsidP="00D53080">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inversión en este tipo de empresas.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 Patrimonio de organismos descentralizados de control presupuestario directo, según corresponda.</w:t>
      </w:r>
    </w:p>
    <w:p w:rsidR="00D53080" w:rsidRPr="00D53080" w:rsidRDefault="00D53080" w:rsidP="00D53080">
      <w:pPr>
        <w:pStyle w:val="Default"/>
        <w:ind w:left="1416"/>
        <w:jc w:val="both"/>
        <w:rPr>
          <w:rFonts w:asciiTheme="minorHAnsi" w:hAnsiTheme="minorHAnsi" w:cstheme="minorHAnsi"/>
          <w:sz w:val="20"/>
          <w:szCs w:val="20"/>
        </w:rPr>
      </w:pPr>
      <w:r w:rsidRPr="00D53080">
        <w:rPr>
          <w:rFonts w:asciiTheme="minorHAnsi" w:hAnsiTheme="minorHAnsi" w:cstheme="minorHAnsi"/>
          <w:sz w:val="20"/>
          <w:szCs w:val="20"/>
        </w:rPr>
        <w:t>No se tiene Patrimonio en Organismos descentralizados de Control Presupuestario directo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8. Fideicomisos, Mandatos y Análogos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Por ramo administrativo que los reporta.</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Enlistar los de mayor monto de disponibilidad, relacionando aquéllos que conforman el 80% de las disponibilidades.</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cuenta con Fideicomisos, Mandatos y Análogos.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lastRenderedPageBreak/>
        <w:t xml:space="preserve">9. Reporte de la Recaudación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 xml:space="preserve">El Instituto recibe transferencias derivadas de participaciones federales no etiquetadas. A la fecha de </w:t>
      </w:r>
      <w:proofErr w:type="gramStart"/>
      <w:r w:rsidRPr="00D53080">
        <w:rPr>
          <w:rFonts w:asciiTheme="minorHAnsi" w:hAnsiTheme="minorHAnsi" w:cstheme="minorHAnsi"/>
          <w:sz w:val="20"/>
          <w:szCs w:val="20"/>
        </w:rPr>
        <w:t>esta informe</w:t>
      </w:r>
      <w:proofErr w:type="gramEnd"/>
      <w:r w:rsidRPr="00D53080">
        <w:rPr>
          <w:rFonts w:asciiTheme="minorHAnsi" w:hAnsiTheme="minorHAnsi" w:cstheme="minorHAnsi"/>
          <w:sz w:val="20"/>
          <w:szCs w:val="20"/>
        </w:rPr>
        <w:t xml:space="preserve"> </w:t>
      </w:r>
      <w:r w:rsidR="007A75B9">
        <w:rPr>
          <w:rFonts w:asciiTheme="minorHAnsi" w:hAnsiTheme="minorHAnsi" w:cstheme="minorHAnsi"/>
          <w:sz w:val="20"/>
          <w:szCs w:val="20"/>
        </w:rPr>
        <w:t>no hay solicitudes de pago pendientes de recaudar por el período correspondiente al primer trimestre del ejercicio 2025</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b) Proyección de la recaudación e ingresos en el mediano plazo: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b/>
          <w:bCs/>
          <w:sz w:val="20"/>
          <w:szCs w:val="20"/>
        </w:rPr>
        <w:t xml:space="preserve">10. Información sobre la Deuda y el Reporte Analítico de la Deuda </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ab/>
        <w:t>No se tiene Deuda.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D53080" w:rsidRPr="00D53080" w:rsidRDefault="00D53080" w:rsidP="00D53080">
      <w:pPr>
        <w:pStyle w:val="Default"/>
        <w:ind w:firstLine="708"/>
        <w:jc w:val="both"/>
        <w:rPr>
          <w:rFonts w:asciiTheme="minorHAnsi" w:hAnsiTheme="minorHAnsi" w:cstheme="minorHAnsi"/>
          <w:bCs/>
          <w:sz w:val="20"/>
          <w:szCs w:val="20"/>
        </w:rPr>
      </w:pPr>
      <w:r w:rsidRPr="00D53080">
        <w:rPr>
          <w:rFonts w:asciiTheme="minorHAnsi" w:hAnsiTheme="minorHAnsi" w:cstheme="minorHAnsi"/>
          <w:bCs/>
          <w:sz w:val="20"/>
          <w:szCs w:val="20"/>
        </w:rPr>
        <w:t>No se tiene Deuda.</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11. Calificaciones Otorgadas</w:t>
      </w:r>
    </w:p>
    <w:p w:rsidR="00D53080" w:rsidRPr="00D53080" w:rsidRDefault="00D53080" w:rsidP="00D53080">
      <w:pPr>
        <w:pStyle w:val="Default"/>
        <w:jc w:val="both"/>
        <w:rPr>
          <w:rFonts w:asciiTheme="minorHAnsi" w:hAnsiTheme="minorHAnsi" w:cstheme="minorHAnsi"/>
          <w:bCs/>
          <w:sz w:val="20"/>
          <w:szCs w:val="20"/>
        </w:rPr>
      </w:pPr>
    </w:p>
    <w:p w:rsidR="00D53080" w:rsidRPr="00D53080" w:rsidRDefault="00D53080" w:rsidP="00D53080">
      <w:pPr>
        <w:pStyle w:val="Default"/>
        <w:jc w:val="both"/>
        <w:rPr>
          <w:rFonts w:asciiTheme="minorHAnsi" w:hAnsiTheme="minorHAnsi" w:cstheme="minorHAnsi"/>
          <w:bCs/>
          <w:sz w:val="20"/>
          <w:szCs w:val="20"/>
        </w:rPr>
      </w:pPr>
      <w:r w:rsidRPr="00D53080">
        <w:rPr>
          <w:rFonts w:asciiTheme="minorHAnsi" w:hAnsiTheme="minorHAnsi" w:cstheme="minorHAnsi"/>
          <w:bCs/>
          <w:sz w:val="20"/>
          <w:szCs w:val="20"/>
        </w:rPr>
        <w:t>Informar, tanto del ente público como cualquier transacción realizada, que haya sido sujeta a una calificación crediticia.</w:t>
      </w:r>
    </w:p>
    <w:p w:rsidR="00D53080" w:rsidRPr="00D53080" w:rsidRDefault="00D53080" w:rsidP="00D53080">
      <w:pPr>
        <w:pStyle w:val="Default"/>
        <w:ind w:left="708"/>
        <w:jc w:val="both"/>
        <w:rPr>
          <w:rFonts w:asciiTheme="minorHAnsi" w:hAnsiTheme="minorHAnsi" w:cstheme="minorHAnsi"/>
          <w:bCs/>
          <w:sz w:val="20"/>
          <w:szCs w:val="20"/>
        </w:rPr>
      </w:pPr>
      <w:r w:rsidRPr="00D53080">
        <w:rPr>
          <w:rFonts w:asciiTheme="minorHAnsi" w:hAnsiTheme="minorHAnsi" w:cstheme="minorHAnsi"/>
          <w:bCs/>
          <w:sz w:val="20"/>
          <w:szCs w:val="20"/>
        </w:rPr>
        <w:t>No se cuenta con calificaciones otorgadas o certificaciones</w:t>
      </w: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p>
    <w:p w:rsidR="00D53080" w:rsidRPr="00D53080" w:rsidRDefault="00D53080" w:rsidP="00D53080">
      <w:pPr>
        <w:pStyle w:val="Default"/>
        <w:jc w:val="both"/>
        <w:rPr>
          <w:rFonts w:asciiTheme="minorHAnsi" w:hAnsiTheme="minorHAnsi" w:cstheme="minorHAnsi"/>
          <w:b/>
          <w:bCs/>
          <w:sz w:val="20"/>
          <w:szCs w:val="20"/>
        </w:rPr>
      </w:pPr>
      <w:r w:rsidRPr="00D53080">
        <w:rPr>
          <w:rFonts w:asciiTheme="minorHAnsi" w:hAnsiTheme="minorHAnsi" w:cstheme="minorHAnsi"/>
          <w:b/>
          <w:bCs/>
          <w:sz w:val="20"/>
          <w:szCs w:val="20"/>
        </w:rPr>
        <w:t xml:space="preserve">12. Proceso de Mejora </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a) Principales Políticas de control interno.</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Reglamento Interior del Instituto para la Protección de Personas Defensoras de Derechos Humanos y Periodistas del Estado de Sinaloa, publicado el 28 de octubre del 2022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el Ejercicio del Gasto de Viáticos y Pasajes, publicado el 24 de abril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Lineamientos para la Asignación de Recursos Económicos por Concepto de Ayuda Social publicado el 05 de mayo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 xml:space="preserve">Acuerdo por el que se crea el Comité de Adquisiciones, Arrendamientos y Servicios del </w:t>
      </w:r>
      <w:proofErr w:type="spellStart"/>
      <w:r w:rsidRPr="00D53080">
        <w:rPr>
          <w:rFonts w:asciiTheme="minorHAnsi" w:hAnsiTheme="minorHAnsi" w:cstheme="minorHAnsi"/>
          <w:sz w:val="20"/>
          <w:szCs w:val="20"/>
        </w:rPr>
        <w:t>IPPPDDHyP</w:t>
      </w:r>
      <w:proofErr w:type="spellEnd"/>
      <w:r w:rsidRPr="00D53080">
        <w:rPr>
          <w:rFonts w:asciiTheme="minorHAnsi" w:hAnsiTheme="minorHAnsi" w:cstheme="minorHAnsi"/>
          <w:sz w:val="20"/>
          <w:szCs w:val="20"/>
        </w:rPr>
        <w:t>, publicado el 30 de junio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Adquisiciones, Arrendamientos, Servicios y Administración de Bienes Muebles, publicado el 21 de julio del 2023 en el periódico “El Estado de Sinaloa”.</w:t>
      </w:r>
    </w:p>
    <w:p w:rsidR="00D53080" w:rsidRP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Contabilidad Gubernamental, disponible en el portal de internet del Instituto. https://institutodhypsinaloa.mx/images/marcojuridico/Normatividad%20Local%20e%20Interna/Manual%20de%20Contabilidad%20Gubernamental.pdf</w:t>
      </w:r>
    </w:p>
    <w:p w:rsidR="00D53080" w:rsidRDefault="00D53080" w:rsidP="00D53080">
      <w:pPr>
        <w:pStyle w:val="Default"/>
        <w:numPr>
          <w:ilvl w:val="0"/>
          <w:numId w:val="3"/>
        </w:numPr>
        <w:jc w:val="both"/>
        <w:rPr>
          <w:rFonts w:asciiTheme="minorHAnsi" w:hAnsiTheme="minorHAnsi" w:cstheme="minorHAnsi"/>
          <w:sz w:val="20"/>
          <w:szCs w:val="20"/>
        </w:rPr>
      </w:pPr>
      <w:r w:rsidRPr="00D53080">
        <w:rPr>
          <w:rFonts w:asciiTheme="minorHAnsi" w:hAnsiTheme="minorHAnsi" w:cstheme="minorHAnsi"/>
          <w:sz w:val="20"/>
          <w:szCs w:val="20"/>
        </w:rPr>
        <w:t>Manual de Remuneraciones del Personal al Servicio del Instituto para la Protección de Personas Defensoras de Derechos Humanos y Periodistas del Estado de Sinaloa, publicado el 17 de enero del 2025 en el periódico “El Estado de Sinaloa”.</w:t>
      </w:r>
    </w:p>
    <w:p w:rsidR="007A75B9" w:rsidRDefault="007A75B9" w:rsidP="007A75B9">
      <w:pPr>
        <w:pStyle w:val="Default"/>
        <w:numPr>
          <w:ilvl w:val="0"/>
          <w:numId w:val="3"/>
        </w:numPr>
        <w:jc w:val="both"/>
        <w:rPr>
          <w:rFonts w:asciiTheme="minorHAnsi" w:hAnsiTheme="minorHAnsi" w:cstheme="minorHAnsi"/>
          <w:sz w:val="20"/>
          <w:szCs w:val="20"/>
        </w:rPr>
      </w:pPr>
      <w:r w:rsidRPr="007A75B9">
        <w:rPr>
          <w:rFonts w:asciiTheme="minorHAnsi" w:hAnsiTheme="minorHAnsi" w:cstheme="minorHAnsi"/>
          <w:sz w:val="20"/>
          <w:szCs w:val="20"/>
        </w:rPr>
        <w:t xml:space="preserve">Código de </w:t>
      </w:r>
      <w:proofErr w:type="spellStart"/>
      <w:r w:rsidRPr="007A75B9">
        <w:rPr>
          <w:rFonts w:asciiTheme="minorHAnsi" w:hAnsiTheme="minorHAnsi" w:cstheme="minorHAnsi"/>
          <w:sz w:val="20"/>
          <w:szCs w:val="20"/>
        </w:rPr>
        <w:t>Etica</w:t>
      </w:r>
      <w:proofErr w:type="spellEnd"/>
      <w:r w:rsidRPr="007A75B9">
        <w:rPr>
          <w:rFonts w:asciiTheme="minorHAnsi" w:hAnsiTheme="minorHAnsi" w:cstheme="minorHAnsi"/>
          <w:sz w:val="20"/>
          <w:szCs w:val="20"/>
        </w:rPr>
        <w:t xml:space="preserve"> de las Personas Servidoras Públicas del Instituto para la Protección de Personas Defensoras de Derechos Humanos y Periodistas</w:t>
      </w:r>
      <w:r>
        <w:rPr>
          <w:rFonts w:asciiTheme="minorHAnsi" w:hAnsiTheme="minorHAnsi" w:cstheme="minorHAnsi"/>
          <w:sz w:val="20"/>
          <w:szCs w:val="20"/>
        </w:rPr>
        <w:t>.</w:t>
      </w:r>
    </w:p>
    <w:p w:rsidR="007A75B9" w:rsidRDefault="007A75B9" w:rsidP="007A75B9">
      <w:pPr>
        <w:pStyle w:val="Default"/>
        <w:numPr>
          <w:ilvl w:val="0"/>
          <w:numId w:val="3"/>
        </w:numPr>
        <w:jc w:val="both"/>
        <w:rPr>
          <w:rFonts w:asciiTheme="minorHAnsi" w:hAnsiTheme="minorHAnsi" w:cstheme="minorHAnsi"/>
          <w:sz w:val="20"/>
          <w:szCs w:val="20"/>
        </w:rPr>
      </w:pPr>
      <w:r w:rsidRPr="007A75B9">
        <w:rPr>
          <w:rFonts w:asciiTheme="minorHAnsi" w:hAnsiTheme="minorHAnsi" w:cstheme="minorHAnsi"/>
          <w:sz w:val="20"/>
          <w:szCs w:val="20"/>
        </w:rPr>
        <w:t>Código de Conducta de las Personas Servidoras Públicas del Instituto para la Protección de Personas Defensoras de Derechos Humanos y Periodistas</w:t>
      </w:r>
      <w:r>
        <w:rPr>
          <w:rFonts w:asciiTheme="minorHAnsi" w:hAnsiTheme="minorHAnsi" w:cstheme="minorHAnsi"/>
          <w:sz w:val="20"/>
          <w:szCs w:val="20"/>
        </w:rPr>
        <w:t>.</w:t>
      </w:r>
    </w:p>
    <w:p w:rsidR="007A75B9" w:rsidRDefault="007A75B9" w:rsidP="007A75B9">
      <w:pPr>
        <w:pStyle w:val="Default"/>
        <w:jc w:val="both"/>
        <w:rPr>
          <w:rFonts w:asciiTheme="minorHAnsi" w:hAnsiTheme="minorHAnsi" w:cstheme="minorHAnsi"/>
          <w:sz w:val="20"/>
          <w:szCs w:val="20"/>
        </w:rPr>
      </w:pPr>
    </w:p>
    <w:p w:rsidR="007A75B9" w:rsidRPr="00D53080" w:rsidRDefault="007A75B9" w:rsidP="007A75B9">
      <w:pPr>
        <w:pStyle w:val="Default"/>
        <w:jc w:val="both"/>
        <w:rPr>
          <w:rFonts w:asciiTheme="minorHAnsi" w:hAnsiTheme="minorHAnsi" w:cstheme="minorHAnsi"/>
          <w:sz w:val="20"/>
          <w:szCs w:val="20"/>
        </w:rPr>
      </w:pPr>
    </w:p>
    <w:p w:rsidR="00D53080" w:rsidRPr="00D53080" w:rsidRDefault="00D53080" w:rsidP="00D53080">
      <w:pPr>
        <w:pStyle w:val="Default"/>
        <w:ind w:left="106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lastRenderedPageBreak/>
        <w:t>b) Medidas de desempeño financiero, metas y alcance.</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Racionar el uso de los recursos, sobre todo en el primer semestre del año para alcanzar el cumplimiento de las funciones para el ejercicio completo.</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13. Información por Segmentos: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Consecuentemente, esta información contribuye al análisis más preciso de la situación financiera, grados y fuentes de riesgo y crecimiento potencial de negocio.</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Toda la información del Ente, está procesada y se encuentra disponible por proyecto y unidad responsable de realizar las funciones propias.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14. Eventos Posteriores al Cierre:</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El ente público no tiene hechos ocurridos en el período posterior al que informa, que proporcionen mayor evidencia sobre eventos que le afectan económicamente y que no se conocían a la fecha de cierre.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15. Partes Relacionadas:</w:t>
      </w:r>
    </w:p>
    <w:p w:rsidR="00D53080" w:rsidRPr="00D53080" w:rsidRDefault="00D53080" w:rsidP="00D53080">
      <w:pPr>
        <w:pStyle w:val="Default"/>
        <w:ind w:left="708"/>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Se debe establecer por escrito que no existen partes relacionadas que pudieran ejercer influencia significativa sobre la toma de decisiones financieras y operativas.</w:t>
      </w:r>
    </w:p>
    <w:p w:rsidR="00D53080" w:rsidRPr="00D53080" w:rsidRDefault="00D53080" w:rsidP="00D53080">
      <w:pPr>
        <w:pStyle w:val="Default"/>
        <w:ind w:left="708"/>
        <w:jc w:val="both"/>
        <w:rPr>
          <w:rFonts w:asciiTheme="minorHAnsi" w:hAnsiTheme="minorHAnsi" w:cstheme="minorHAnsi"/>
          <w:sz w:val="20"/>
          <w:szCs w:val="20"/>
        </w:rPr>
      </w:pPr>
      <w:r w:rsidRPr="00D53080">
        <w:rPr>
          <w:rFonts w:asciiTheme="minorHAnsi" w:hAnsiTheme="minorHAnsi" w:cstheme="minorHAnsi"/>
          <w:sz w:val="20"/>
          <w:szCs w:val="20"/>
        </w:rPr>
        <w:t>No existen partes relacionadas que pudieran ejercer influencia significativa sobre la toma de decisiones financieras y operativas.</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b/>
          <w:sz w:val="20"/>
          <w:szCs w:val="20"/>
        </w:rPr>
      </w:pPr>
      <w:r w:rsidRPr="00D53080">
        <w:rPr>
          <w:rFonts w:asciiTheme="minorHAnsi" w:hAnsiTheme="minorHAnsi" w:cstheme="minorHAnsi"/>
          <w:b/>
          <w:sz w:val="20"/>
          <w:szCs w:val="20"/>
        </w:rPr>
        <w:t>16. Responsabilidad Sobre la Presentación Razonable de la Información Contable</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D53080">
      <w:pPr>
        <w:pStyle w:val="Default"/>
        <w:jc w:val="both"/>
        <w:rPr>
          <w:rFonts w:asciiTheme="minorHAnsi" w:hAnsiTheme="minorHAnsi" w:cstheme="minorHAnsi"/>
          <w:sz w:val="20"/>
          <w:szCs w:val="20"/>
        </w:rPr>
      </w:pPr>
      <w:r w:rsidRPr="00D53080">
        <w:rPr>
          <w:rFonts w:asciiTheme="minorHAnsi" w:hAnsiTheme="minorHAnsi" w:cstheme="minorHAnsi"/>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D53080" w:rsidRPr="00D53080" w:rsidRDefault="00D53080" w:rsidP="00D53080">
      <w:pPr>
        <w:pStyle w:val="Default"/>
        <w:jc w:val="both"/>
        <w:rPr>
          <w:rFonts w:asciiTheme="minorHAnsi" w:hAnsiTheme="minorHAnsi" w:cstheme="minorHAnsi"/>
          <w:sz w:val="20"/>
          <w:szCs w:val="20"/>
        </w:rPr>
      </w:pPr>
    </w:p>
    <w:p w:rsidR="00D53080" w:rsidRPr="00D53080" w:rsidRDefault="00D53080" w:rsidP="006C0D1A">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Bajo protesta de decir verdad declaramos que los Estados Financieros y sus Notas, son</w:t>
      </w:r>
      <w:r w:rsidR="006C0D1A">
        <w:rPr>
          <w:rFonts w:asciiTheme="minorHAnsi" w:hAnsiTheme="minorHAnsi" w:cstheme="minorHAnsi"/>
          <w:color w:val="000000"/>
          <w:lang w:val="es-ES_tradnl"/>
        </w:rPr>
        <w:t xml:space="preserve"> razonablemente correctos y son </w:t>
      </w:r>
      <w:r w:rsidRPr="00D53080">
        <w:rPr>
          <w:rFonts w:asciiTheme="minorHAnsi" w:hAnsiTheme="minorHAnsi" w:cstheme="minorHAnsi"/>
          <w:color w:val="000000"/>
          <w:lang w:val="es-ES_tradnl"/>
        </w:rPr>
        <w:t>responsabilidad del emisor</w:t>
      </w:r>
    </w:p>
    <w:p w:rsidR="00D53080" w:rsidRPr="00D53080" w:rsidRDefault="00D53080" w:rsidP="00D53080">
      <w:pPr>
        <w:widowControl w:val="0"/>
        <w:spacing w:after="240" w:line="200" w:lineRule="atLeast"/>
        <w:rPr>
          <w:rFonts w:asciiTheme="minorHAnsi" w:hAnsiTheme="minorHAnsi" w:cstheme="minorHAnsi"/>
          <w:color w:val="000000"/>
          <w:lang w:val="es-ES_tradnl"/>
        </w:rPr>
      </w:pPr>
    </w:p>
    <w:p w:rsidR="00D53080" w:rsidRPr="00D53080" w:rsidRDefault="00D53080" w:rsidP="00D53080">
      <w:pPr>
        <w:widowControl w:val="0"/>
        <w:spacing w:after="240" w:line="200" w:lineRule="atLeast"/>
        <w:rPr>
          <w:rFonts w:asciiTheme="minorHAnsi" w:hAnsiTheme="minorHAnsi" w:cstheme="minorHAnsi"/>
          <w:color w:val="000000"/>
          <w:lang w:val="es-ES_tradnl"/>
        </w:rPr>
      </w:pPr>
    </w:p>
    <w:p w:rsidR="00D53080" w:rsidRPr="00D53080" w:rsidRDefault="00D53080" w:rsidP="00D53080">
      <w:pPr>
        <w:widowControl w:val="0"/>
        <w:spacing w:after="240" w:line="200" w:lineRule="atLeast"/>
        <w:rPr>
          <w:rFonts w:asciiTheme="minorHAnsi" w:hAnsiTheme="minorHAnsi"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D53080" w:rsidRPr="00BC6DFB" w:rsidTr="00D53080">
        <w:trPr>
          <w:trHeight w:val="477"/>
          <w:jc w:val="center"/>
        </w:trPr>
        <w:tc>
          <w:tcPr>
            <w:tcW w:w="3370" w:type="dxa"/>
          </w:tcPr>
          <w:p w:rsidR="00D53080" w:rsidRPr="00D53080" w:rsidRDefault="00D53080" w:rsidP="00D53080">
            <w:pPr>
              <w:widowControl w:val="0"/>
              <w:spacing w:after="240" w:line="200" w:lineRule="atLeast"/>
              <w:jc w:val="center"/>
              <w:rPr>
                <w:rFonts w:asciiTheme="minorHAnsi" w:hAnsiTheme="minorHAnsi" w:cstheme="minorHAnsi"/>
                <w:color w:val="000000"/>
              </w:rPr>
            </w:pPr>
            <w:r w:rsidRPr="00D53080">
              <w:rPr>
                <w:rFonts w:asciiTheme="minorHAnsi" w:hAnsiTheme="minorHAnsi" w:cstheme="minorHAnsi"/>
                <w:color w:val="000000"/>
              </w:rPr>
              <w:t>DRA. JHENNY JUDITH BERNAL ARELLANO</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LCPF. CRISTIÁN ALBERTO ACOSTA PADILLA</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CP. MARÍA CLARISA ACOSTA LOPEZ</w:t>
            </w:r>
          </w:p>
        </w:tc>
      </w:tr>
      <w:tr w:rsidR="00D53080" w:rsidRPr="00D53080" w:rsidTr="00D53080">
        <w:trPr>
          <w:trHeight w:val="403"/>
          <w:jc w:val="center"/>
        </w:trPr>
        <w:tc>
          <w:tcPr>
            <w:tcW w:w="3370"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DIRECTOR GENERAL</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COORDINADOR GENERAL ADMINISTRATIVO</w:t>
            </w:r>
          </w:p>
        </w:tc>
        <w:tc>
          <w:tcPr>
            <w:tcW w:w="3371" w:type="dxa"/>
          </w:tcPr>
          <w:p w:rsidR="00D53080" w:rsidRPr="00D53080" w:rsidRDefault="00D53080" w:rsidP="00D53080">
            <w:pPr>
              <w:widowControl w:val="0"/>
              <w:spacing w:after="240" w:line="200" w:lineRule="atLeast"/>
              <w:jc w:val="center"/>
              <w:rPr>
                <w:rFonts w:asciiTheme="minorHAnsi" w:hAnsiTheme="minorHAnsi" w:cstheme="minorHAnsi"/>
                <w:color w:val="000000"/>
                <w:lang w:val="es-ES_tradnl"/>
              </w:rPr>
            </w:pPr>
            <w:r w:rsidRPr="00D53080">
              <w:rPr>
                <w:rFonts w:asciiTheme="minorHAnsi" w:hAnsiTheme="minorHAnsi" w:cstheme="minorHAnsi"/>
                <w:color w:val="000000"/>
                <w:lang w:val="es-ES_tradnl"/>
              </w:rPr>
              <w:t>CONTADOR</w:t>
            </w:r>
          </w:p>
        </w:tc>
      </w:tr>
    </w:tbl>
    <w:p w:rsidR="00D53080" w:rsidRPr="00D53080" w:rsidRDefault="00D53080" w:rsidP="00D53080">
      <w:pPr>
        <w:rPr>
          <w:rFonts w:asciiTheme="minorHAnsi" w:hAnsiTheme="minorHAnsi" w:cstheme="minorHAnsi"/>
        </w:rPr>
      </w:pPr>
    </w:p>
    <w:p w:rsidR="00D53080" w:rsidRPr="00D53080" w:rsidRDefault="00D53080">
      <w:pPr>
        <w:widowControl w:val="0"/>
        <w:spacing w:line="252" w:lineRule="exact"/>
        <w:rPr>
          <w:rFonts w:asciiTheme="minorHAnsi" w:hAnsiTheme="minorHAnsi" w:cstheme="minorHAnsi"/>
          <w:lang w:val="es-MX"/>
        </w:rPr>
      </w:pPr>
    </w:p>
    <w:sectPr w:rsidR="00D53080" w:rsidRPr="00D53080" w:rsidSect="003A76C5">
      <w:pgSz w:w="12242" w:h="15842"/>
      <w:pgMar w:top="851" w:right="851" w:bottom="851" w:left="851" w:header="232" w:footer="2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5925758"/>
    <w:multiLevelType w:val="hybridMultilevel"/>
    <w:tmpl w:val="3A68F4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C5"/>
    <w:rsid w:val="00096879"/>
    <w:rsid w:val="001C1809"/>
    <w:rsid w:val="00246B1C"/>
    <w:rsid w:val="00255599"/>
    <w:rsid w:val="002B7401"/>
    <w:rsid w:val="002E3DA4"/>
    <w:rsid w:val="00323B26"/>
    <w:rsid w:val="003A76C5"/>
    <w:rsid w:val="0044280D"/>
    <w:rsid w:val="00454B25"/>
    <w:rsid w:val="004E5D9C"/>
    <w:rsid w:val="00691008"/>
    <w:rsid w:val="006C0D1A"/>
    <w:rsid w:val="00756C9B"/>
    <w:rsid w:val="007A75B9"/>
    <w:rsid w:val="00874172"/>
    <w:rsid w:val="008A5AAF"/>
    <w:rsid w:val="009D6FE3"/>
    <w:rsid w:val="00B0062E"/>
    <w:rsid w:val="00B20D27"/>
    <w:rsid w:val="00B864C4"/>
    <w:rsid w:val="00BC6DFB"/>
    <w:rsid w:val="00C03E94"/>
    <w:rsid w:val="00C306EF"/>
    <w:rsid w:val="00C35069"/>
    <w:rsid w:val="00CD5F29"/>
    <w:rsid w:val="00CF0D14"/>
    <w:rsid w:val="00D53080"/>
    <w:rsid w:val="00EC6B02"/>
    <w:rsid w:val="00ED1BEE"/>
    <w:rsid w:val="00ED3F9C"/>
    <w:rsid w:val="00F95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EB3F2"/>
  <w14:defaultImageDpi w14:val="0"/>
  <w15:docId w15:val="{5552294B-43CE-4CBF-9584-DE854287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C4"/>
    <w:pPr>
      <w:autoSpaceDE w:val="0"/>
      <w:autoSpaceDN w:val="0"/>
      <w:adjustRightInd w:val="0"/>
    </w:pPr>
    <w:rPr>
      <w:rFonts w:ascii="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76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080"/>
    <w:pPr>
      <w:autoSpaceDE w:val="0"/>
      <w:autoSpaceDN w:val="0"/>
      <w:adjustRightInd w:val="0"/>
    </w:pPr>
    <w:rPr>
      <w:rFonts w:ascii="Arial" w:eastAsiaTheme="minorHAnsi" w:hAnsi="Arial" w:cs="Arial"/>
      <w:color w:val="000000"/>
      <w:sz w:val="24"/>
      <w:szCs w:val="24"/>
      <w:lang w:eastAsia="en-US"/>
    </w:rPr>
  </w:style>
  <w:style w:type="character" w:styleId="Hipervnculo">
    <w:name w:val="Hyperlink"/>
    <w:basedOn w:val="Fuentedeprrafopredeter"/>
    <w:uiPriority w:val="99"/>
    <w:unhideWhenUsed/>
    <w:rsid w:val="00D53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2874</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Acosta</dc:creator>
  <cp:keywords/>
  <dc:description/>
  <cp:lastModifiedBy>Cristian Acosta</cp:lastModifiedBy>
  <cp:revision>7</cp:revision>
  <dcterms:created xsi:type="dcterms:W3CDTF">2025-01-20T20:47:00Z</dcterms:created>
  <dcterms:modified xsi:type="dcterms:W3CDTF">2025-05-16T20:44:00Z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01C2D35AF44DC8546069FCCFAB82437E8ADDB2BDEF6EFD411221E6762295156B2CA5BF264AFA4D259175135F46DFB2305C0B1480DDA6A2C73083D54907A06E285EF2057C3D7FB1FC861B1D9FE0FEDFE437A47FB040D00AA9128C249C23AE162E45B1005501D6111373E2E2D6377BB8D4ED4FD474067757DD1AA996CEFA48D73</vt:lpwstr>
  </property>
  <property fmtid="{D5CDD505-2E9C-101B-9397-08002B2CF9AE}" pid="3" name="Business Objects Context Information1">
    <vt:lpwstr>C00EB47298D90661196F9D5FEF7F9AC4A561FAA0AFFA3B21F4CA49EB3FB421690FB2A224DB4485850F81FE9C7E6D2E5B2E4A6C27B988543291E2E9A2222102F22A23C93B2F7D5F749F600929EDB7455E31E0965A536577C89EED99F5901AF96B5770DF6D20C24105DBDF4D9867FD321D12E6B9E1421FC6E368B2C2DA50FE47B</vt:lpwstr>
  </property>
  <property fmtid="{D5CDD505-2E9C-101B-9397-08002B2CF9AE}" pid="4" name="Business Objects Context Information2">
    <vt:lpwstr>9139A6306515B62990E31075F0277F059F6C313B8DDCCAB2D393252EC495466AA4B29DD15E617C07B7680AAFFC77013794BDCBF8A37DB5D8A0BABDB89E190B29E8686E2B3FB4029928836F6EAC12C6794FE0075F9B70D42B594FD68AAB96169F5AA86D213F7914D803B869620947F6A57D2116640B862AEFA7345C8DBCEDFAD</vt:lpwstr>
  </property>
  <property fmtid="{D5CDD505-2E9C-101B-9397-08002B2CF9AE}" pid="5" name="Business Objects Context Information3">
    <vt:lpwstr>07E84A0FDF9F6F90322B809F50511BFA31819</vt:lpwstr>
  </property>
</Properties>
</file>